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86953D" w14:textId="77777777" w:rsidR="00F24C0C" w:rsidRDefault="00F24C0C" w:rsidP="006924CF">
      <w:pPr>
        <w:pStyle w:val="Titolo2"/>
        <w:spacing w:before="0" w:beforeAutospacing="0" w:after="240" w:afterAutospacing="0"/>
        <w:rPr>
          <w:rFonts w:ascii="Titillium Web" w:hAnsi="Titillium Web"/>
          <w:color w:val="000000"/>
          <w:spacing w:val="3"/>
        </w:rPr>
      </w:pPr>
      <w:r>
        <w:rPr>
          <w:rFonts w:ascii="Titillium Web" w:hAnsi="Titillium Web"/>
          <w:color w:val="000000"/>
          <w:spacing w:val="3"/>
        </w:rPr>
        <w:t>Informazioni e normativa ECM</w:t>
      </w:r>
    </w:p>
    <w:p w14:paraId="5106CEAC" w14:textId="4BC49F73" w:rsidR="00F24C0C" w:rsidRPr="00F24C0C" w:rsidRDefault="00F24C0C" w:rsidP="00F24C0C">
      <w:pPr>
        <w:spacing w:after="510" w:line="240" w:lineRule="auto"/>
        <w:outlineLvl w:val="1"/>
        <w:rPr>
          <w:rFonts w:ascii="Titillium Web" w:eastAsia="Times New Roman" w:hAnsi="Titillium Web" w:cs="Times New Roman"/>
          <w:b/>
          <w:bCs/>
          <w:color w:val="444E57"/>
          <w:spacing w:val="3"/>
          <w:sz w:val="36"/>
          <w:szCs w:val="36"/>
          <w:lang w:eastAsia="it-IT"/>
        </w:rPr>
      </w:pPr>
      <w:r w:rsidRPr="00F24C0C">
        <w:rPr>
          <w:rFonts w:ascii="Titillium Web" w:eastAsia="Times New Roman" w:hAnsi="Titillium Web" w:cs="Times New Roman"/>
          <w:b/>
          <w:bCs/>
          <w:color w:val="444E57"/>
          <w:spacing w:val="3"/>
          <w:sz w:val="36"/>
          <w:szCs w:val="36"/>
          <w:lang w:eastAsia="it-IT"/>
        </w:rPr>
        <w:t>Triennio formativo ECM 2020/2022 e recuperi trienni precedenti</w:t>
      </w:r>
    </w:p>
    <w:p w14:paraId="0D338803" w14:textId="77777777" w:rsidR="00F24C0C" w:rsidRPr="00F24C0C" w:rsidRDefault="00F24C0C" w:rsidP="00F24C0C">
      <w:pPr>
        <w:spacing w:after="540" w:line="240" w:lineRule="auto"/>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Queste in sintesi le regole stabilite dalla Commissione Nazionale ECM.</w:t>
      </w:r>
    </w:p>
    <w:p w14:paraId="0CF5814F" w14:textId="1A4DA61E" w:rsidR="00F24C0C" w:rsidRPr="00F24C0C" w:rsidRDefault="00F24C0C" w:rsidP="006924CF">
      <w:pPr>
        <w:spacing w:after="540" w:line="240" w:lineRule="auto"/>
        <w:jc w:val="both"/>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Per il triennio </w:t>
      </w:r>
      <w:r w:rsidRPr="00F24C0C">
        <w:rPr>
          <w:rFonts w:ascii="Titillium Web" w:eastAsia="Times New Roman" w:hAnsi="Titillium Web" w:cs="Times New Roman"/>
          <w:b/>
          <w:bCs/>
          <w:color w:val="444E57"/>
          <w:spacing w:val="1"/>
          <w:sz w:val="27"/>
          <w:szCs w:val="27"/>
          <w:lang w:eastAsia="it-IT"/>
        </w:rPr>
        <w:t>2014/2016</w:t>
      </w:r>
      <w:r w:rsidRPr="00F24C0C">
        <w:rPr>
          <w:rFonts w:ascii="Titillium Web" w:eastAsia="Times New Roman" w:hAnsi="Titillium Web" w:cs="Times New Roman"/>
          <w:color w:val="444E57"/>
          <w:spacing w:val="1"/>
          <w:sz w:val="27"/>
          <w:szCs w:val="27"/>
          <w:lang w:eastAsia="it-IT"/>
        </w:rPr>
        <w:t> e per il triennio</w:t>
      </w:r>
      <w:r w:rsidRPr="00F24C0C">
        <w:rPr>
          <w:rFonts w:ascii="Titillium Web" w:eastAsia="Times New Roman" w:hAnsi="Titillium Web" w:cs="Times New Roman"/>
          <w:b/>
          <w:bCs/>
          <w:color w:val="444E57"/>
          <w:spacing w:val="1"/>
          <w:sz w:val="27"/>
          <w:szCs w:val="27"/>
          <w:lang w:eastAsia="it-IT"/>
        </w:rPr>
        <w:t> 2017/2019</w:t>
      </w:r>
      <w:r w:rsidRPr="00F24C0C">
        <w:rPr>
          <w:rFonts w:ascii="Titillium Web" w:eastAsia="Times New Roman" w:hAnsi="Titillium Web" w:cs="Times New Roman"/>
          <w:color w:val="444E57"/>
          <w:spacing w:val="1"/>
          <w:sz w:val="27"/>
          <w:szCs w:val="27"/>
          <w:lang w:eastAsia="it-IT"/>
        </w:rPr>
        <w:t>: il recupero dei crediti mancanti è consentito fino al 31/12/2021. Si riporta il manuale del COGEAPS che illustra le modalità per l'eventuale </w:t>
      </w:r>
      <w:r w:rsidRPr="00F24C0C">
        <w:rPr>
          <w:rFonts w:ascii="Titillium Web" w:eastAsia="Times New Roman" w:hAnsi="Titillium Web" w:cs="Times New Roman"/>
          <w:b/>
          <w:bCs/>
          <w:color w:val="444E57"/>
          <w:spacing w:val="1"/>
          <w:sz w:val="27"/>
          <w:szCs w:val="27"/>
          <w:lang w:eastAsia="it-IT"/>
        </w:rPr>
        <w:t>spostamento</w:t>
      </w:r>
      <w:r w:rsidRPr="00F24C0C">
        <w:rPr>
          <w:rFonts w:ascii="Titillium Web" w:eastAsia="Times New Roman" w:hAnsi="Titillium Web" w:cs="Times New Roman"/>
          <w:color w:val="444E57"/>
          <w:spacing w:val="1"/>
          <w:sz w:val="27"/>
          <w:szCs w:val="27"/>
          <w:lang w:eastAsia="it-IT"/>
        </w:rPr>
        <w:t> dei crediti ECM per soddisfare l'obbligo formativotriennale: </w:t>
      </w:r>
      <w:hyperlink r:id="rId5" w:history="1">
        <w:r w:rsidR="006924CF" w:rsidRPr="00F24C0C">
          <w:rPr>
            <w:rStyle w:val="Collegamentoipertestuale"/>
            <w:rFonts w:ascii="Titillium Web" w:eastAsia="Times New Roman" w:hAnsi="Titillium Web" w:cs="Times New Roman"/>
            <w:spacing w:val="1"/>
            <w:sz w:val="27"/>
            <w:szCs w:val="27"/>
            <w:lang w:eastAsia="it-IT"/>
          </w:rPr>
          <w:t>http://wp.cogeaps.it/wpcontent/uploads/2020/10/GuidaUtente_SpostamentoCrediti.pdf</w:t>
        </w:r>
      </w:hyperlink>
    </w:p>
    <w:p w14:paraId="416E593D" w14:textId="77777777" w:rsidR="00F24C0C" w:rsidRPr="00F24C0C" w:rsidRDefault="00F24C0C" w:rsidP="00F24C0C">
      <w:pPr>
        <w:spacing w:after="540" w:line="240" w:lineRule="auto"/>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Si tratta di un'operazione eseguibile in totale autonomia sul sito internet del COGEAPS: </w:t>
      </w:r>
      <w:hyperlink r:id="rId6" w:tgtFrame="_blank" w:history="1">
        <w:r w:rsidRPr="00F24C0C">
          <w:rPr>
            <w:rFonts w:ascii="Titillium Web" w:eastAsia="Times New Roman" w:hAnsi="Titillium Web" w:cs="Times New Roman"/>
            <w:color w:val="003569"/>
            <w:spacing w:val="1"/>
            <w:sz w:val="27"/>
            <w:szCs w:val="27"/>
            <w:u w:val="single"/>
            <w:lang w:eastAsia="it-IT"/>
          </w:rPr>
          <w:t>www.cogeaps.it</w:t>
        </w:r>
      </w:hyperlink>
      <w:r w:rsidRPr="00F24C0C">
        <w:rPr>
          <w:rFonts w:ascii="Titillium Web" w:eastAsia="Times New Roman" w:hAnsi="Titillium Web" w:cs="Times New Roman"/>
          <w:color w:val="444E57"/>
          <w:spacing w:val="1"/>
          <w:sz w:val="27"/>
          <w:szCs w:val="27"/>
          <w:lang w:eastAsia="it-IT"/>
        </w:rPr>
        <w:t> accedendo tramite SPID.</w:t>
      </w:r>
    </w:p>
    <w:p w14:paraId="7419D88A" w14:textId="77777777" w:rsidR="00F24C0C" w:rsidRPr="00F24C0C" w:rsidRDefault="00F24C0C" w:rsidP="006924CF">
      <w:pPr>
        <w:spacing w:after="540" w:line="240" w:lineRule="auto"/>
        <w:jc w:val="both"/>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Per il triennio </w:t>
      </w:r>
      <w:r w:rsidRPr="00F24C0C">
        <w:rPr>
          <w:rFonts w:ascii="Titillium Web" w:eastAsia="Times New Roman" w:hAnsi="Titillium Web" w:cs="Times New Roman"/>
          <w:b/>
          <w:bCs/>
          <w:color w:val="444E57"/>
          <w:spacing w:val="1"/>
          <w:sz w:val="27"/>
          <w:szCs w:val="27"/>
          <w:lang w:eastAsia="it-IT"/>
        </w:rPr>
        <w:t>2020/2022</w:t>
      </w:r>
      <w:r w:rsidRPr="00F24C0C">
        <w:rPr>
          <w:rFonts w:ascii="Titillium Web" w:eastAsia="Times New Roman" w:hAnsi="Titillium Web" w:cs="Times New Roman"/>
          <w:color w:val="444E57"/>
          <w:spacing w:val="1"/>
          <w:sz w:val="27"/>
          <w:szCs w:val="27"/>
          <w:lang w:eastAsia="it-IT"/>
        </w:rPr>
        <w:t> è confermato l'obbligo formativo pari a </w:t>
      </w:r>
      <w:r w:rsidRPr="00F24C0C">
        <w:rPr>
          <w:rFonts w:ascii="Titillium Web" w:eastAsia="Times New Roman" w:hAnsi="Titillium Web" w:cs="Times New Roman"/>
          <w:b/>
          <w:bCs/>
          <w:color w:val="444E57"/>
          <w:spacing w:val="1"/>
          <w:sz w:val="27"/>
          <w:szCs w:val="27"/>
          <w:lang w:eastAsia="it-IT"/>
        </w:rPr>
        <w:t>150 crediti</w:t>
      </w:r>
      <w:r w:rsidRPr="00F24C0C">
        <w:rPr>
          <w:rFonts w:ascii="Titillium Web" w:eastAsia="Times New Roman" w:hAnsi="Titillium Web" w:cs="Times New Roman"/>
          <w:color w:val="444E57"/>
          <w:spacing w:val="1"/>
          <w:sz w:val="27"/>
          <w:szCs w:val="27"/>
          <w:lang w:eastAsia="it-IT"/>
        </w:rPr>
        <w:t> (salvo esoneri, esenzioni e altre riduzioni) da conseguire entro il </w:t>
      </w:r>
      <w:r w:rsidRPr="00F24C0C">
        <w:rPr>
          <w:rFonts w:ascii="Titillium Web" w:eastAsia="Times New Roman" w:hAnsi="Titillium Web" w:cs="Times New Roman"/>
          <w:b/>
          <w:bCs/>
          <w:color w:val="444E57"/>
          <w:spacing w:val="1"/>
          <w:sz w:val="27"/>
          <w:szCs w:val="27"/>
          <w:lang w:eastAsia="it-IT"/>
        </w:rPr>
        <w:t>31/12/2022</w:t>
      </w:r>
      <w:r w:rsidRPr="00F24C0C">
        <w:rPr>
          <w:rFonts w:ascii="Titillium Web" w:eastAsia="Times New Roman" w:hAnsi="Titillium Web" w:cs="Times New Roman"/>
          <w:color w:val="444E57"/>
          <w:spacing w:val="1"/>
          <w:sz w:val="27"/>
          <w:szCs w:val="27"/>
          <w:lang w:eastAsia="it-IT"/>
        </w:rPr>
        <w:t>.</w:t>
      </w:r>
      <w:r w:rsidRPr="00F24C0C">
        <w:rPr>
          <w:rFonts w:ascii="Titillium Web" w:eastAsia="Times New Roman" w:hAnsi="Titillium Web" w:cs="Times New Roman"/>
          <w:color w:val="444E57"/>
          <w:spacing w:val="1"/>
          <w:sz w:val="27"/>
          <w:szCs w:val="27"/>
          <w:lang w:eastAsia="it-IT"/>
        </w:rPr>
        <w:br/>
      </w:r>
      <w:r w:rsidRPr="00F24C0C">
        <w:rPr>
          <w:rFonts w:ascii="Titillium Web" w:eastAsia="Times New Roman" w:hAnsi="Titillium Web" w:cs="Times New Roman"/>
          <w:color w:val="444E57"/>
          <w:spacing w:val="1"/>
          <w:sz w:val="27"/>
          <w:szCs w:val="27"/>
          <w:lang w:eastAsia="it-IT"/>
        </w:rPr>
        <w:br/>
        <w:t>L'art. 162 del Decreto Legislativo n. 101 del 31 luglio 2020 ha stabilito che i crediti specifici in materia di </w:t>
      </w:r>
      <w:r w:rsidRPr="00F24C0C">
        <w:rPr>
          <w:rFonts w:ascii="Titillium Web" w:eastAsia="Times New Roman" w:hAnsi="Titillium Web" w:cs="Times New Roman"/>
          <w:b/>
          <w:bCs/>
          <w:color w:val="444E57"/>
          <w:spacing w:val="1"/>
          <w:sz w:val="27"/>
          <w:szCs w:val="27"/>
          <w:lang w:eastAsia="it-IT"/>
        </w:rPr>
        <w:t>radioprotezione</w:t>
      </w:r>
      <w:r w:rsidRPr="00F24C0C">
        <w:rPr>
          <w:rFonts w:ascii="Titillium Web" w:eastAsia="Times New Roman" w:hAnsi="Titillium Web" w:cs="Times New Roman"/>
          <w:color w:val="444E57"/>
          <w:spacing w:val="1"/>
          <w:sz w:val="27"/>
          <w:szCs w:val="27"/>
          <w:lang w:eastAsia="it-IT"/>
        </w:rPr>
        <w:t> devono rappresentare almeno il 10 per cento dei crediti complessivi previsti nel triennio per i medici specialisti, i medici di medicina generale, i pediatri di famiglia, i tecnici sanitari di radiologia medica, gli infermieri e gli infermieri pediatrici, e almeno il 15 per cento dei crediti complessivi previsti nel triennio per gli specialisti in fisica medica e per i medici specialisti e gli odontoiatri che svolgono attività complementare.</w:t>
      </w:r>
    </w:p>
    <w:p w14:paraId="1E9521C4" w14:textId="77777777" w:rsidR="00F24C0C" w:rsidRPr="00F24C0C" w:rsidRDefault="00F24C0C" w:rsidP="006924CF">
      <w:pPr>
        <w:spacing w:after="540" w:line="240" w:lineRule="auto"/>
        <w:jc w:val="both"/>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Inoltre la Commissione Nazionale per la Formazione Continua, con delibera del 23/09/2021, ha definito il Dossier Formativo per il triennio 2020/2022 e, conseguentemente, la Federazione Nazionale degli Ordini dei Medici ha attribuito a tutti i medici e odontoiatri italiani il bonus previsto pari a 30 crediti ECM per il suddetto triennio.</w:t>
      </w:r>
    </w:p>
    <w:p w14:paraId="5A3D2AF4" w14:textId="77777777" w:rsidR="00F24C0C" w:rsidRPr="00F24C0C" w:rsidRDefault="00F24C0C" w:rsidP="006924CF">
      <w:pPr>
        <w:spacing w:after="0" w:line="240" w:lineRule="auto"/>
        <w:jc w:val="both"/>
        <w:rPr>
          <w:rFonts w:ascii="Times New Roman" w:eastAsia="Times New Roman" w:hAnsi="Times New Roman" w:cs="Times New Roman"/>
          <w:sz w:val="24"/>
          <w:szCs w:val="24"/>
          <w:lang w:eastAsia="it-IT"/>
        </w:rPr>
      </w:pPr>
      <w:r w:rsidRPr="00F24C0C">
        <w:rPr>
          <w:rFonts w:ascii="Times New Roman" w:eastAsia="Times New Roman" w:hAnsi="Times New Roman" w:cs="Times New Roman"/>
          <w:sz w:val="24"/>
          <w:szCs w:val="24"/>
          <w:lang w:eastAsia="it-IT"/>
        </w:rPr>
        <w:lastRenderedPageBreak/>
        <w:pict w14:anchorId="79CAAB8B">
          <v:rect id="_x0000_i1025" style="width:0;height:0" o:hralign="center" o:hrstd="t" o:hrnoshade="t" o:hr="t" fillcolor="#444e57" stroked="f"/>
        </w:pict>
      </w:r>
    </w:p>
    <w:p w14:paraId="77A5A8CE" w14:textId="77777777" w:rsidR="00F24C0C" w:rsidRPr="00F24C0C" w:rsidRDefault="00F24C0C" w:rsidP="00F24C0C">
      <w:pPr>
        <w:spacing w:after="510" w:line="240" w:lineRule="auto"/>
        <w:outlineLvl w:val="1"/>
        <w:rPr>
          <w:rFonts w:ascii="Titillium Web" w:eastAsia="Times New Roman" w:hAnsi="Titillium Web" w:cs="Times New Roman"/>
          <w:b/>
          <w:bCs/>
          <w:color w:val="444E57"/>
          <w:spacing w:val="3"/>
          <w:sz w:val="36"/>
          <w:szCs w:val="36"/>
          <w:lang w:eastAsia="it-IT"/>
        </w:rPr>
      </w:pPr>
      <w:r w:rsidRPr="00F24C0C">
        <w:rPr>
          <w:rFonts w:ascii="Titillium Web" w:eastAsia="Times New Roman" w:hAnsi="Titillium Web" w:cs="Times New Roman"/>
          <w:b/>
          <w:bCs/>
          <w:color w:val="444E57"/>
          <w:spacing w:val="3"/>
          <w:sz w:val="36"/>
          <w:szCs w:val="36"/>
          <w:lang w:eastAsia="it-IT"/>
        </w:rPr>
        <w:t>Informazioni pratiche e Domande frequenti</w:t>
      </w:r>
    </w:p>
    <w:p w14:paraId="2949E2B2" w14:textId="77777777" w:rsidR="00F24C0C" w:rsidRPr="00F24C0C" w:rsidRDefault="00F24C0C" w:rsidP="00F24C0C">
      <w:pPr>
        <w:spacing w:after="540" w:line="240" w:lineRule="auto"/>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Ecco alcune indicazioni pratiche per tenere sotto controllo la propria posizione ECM:</w:t>
      </w:r>
    </w:p>
    <w:p w14:paraId="128A83E2" w14:textId="77777777" w:rsidR="00F24C0C" w:rsidRPr="00F24C0C" w:rsidRDefault="00F24C0C" w:rsidP="006924CF">
      <w:pPr>
        <w:numPr>
          <w:ilvl w:val="0"/>
          <w:numId w:val="1"/>
        </w:numPr>
        <w:spacing w:before="100" w:beforeAutospacing="1" w:after="100" w:afterAutospacing="1" w:line="240" w:lineRule="auto"/>
        <w:jc w:val="both"/>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Se non lo si è già fatto, è necessario che il professionista si registri sul sito </w:t>
      </w:r>
      <w:hyperlink r:id="rId7" w:tgtFrame="_blank" w:history="1">
        <w:r w:rsidRPr="00F24C0C">
          <w:rPr>
            <w:rFonts w:ascii="Titillium Web" w:eastAsia="Times New Roman" w:hAnsi="Titillium Web" w:cs="Times New Roman"/>
            <w:color w:val="003569"/>
            <w:spacing w:val="1"/>
            <w:sz w:val="27"/>
            <w:szCs w:val="27"/>
            <w:u w:val="single"/>
            <w:lang w:eastAsia="it-IT"/>
          </w:rPr>
          <w:t>www.cogeaps.it</w:t>
        </w:r>
      </w:hyperlink>
      <w:r w:rsidRPr="00F24C0C">
        <w:rPr>
          <w:rFonts w:ascii="Titillium Web" w:eastAsia="Times New Roman" w:hAnsi="Titillium Web" w:cs="Times New Roman"/>
          <w:color w:val="444E57"/>
          <w:spacing w:val="1"/>
          <w:sz w:val="27"/>
          <w:szCs w:val="27"/>
          <w:lang w:eastAsia="it-IT"/>
        </w:rPr>
        <w:t> che gestisce l'anagrafica dei crediti ECM dei sanitari italiani.</w:t>
      </w:r>
    </w:p>
    <w:p w14:paraId="66F237F0" w14:textId="77777777" w:rsidR="00F24C0C" w:rsidRPr="00F24C0C" w:rsidRDefault="00F24C0C" w:rsidP="006924CF">
      <w:pPr>
        <w:numPr>
          <w:ilvl w:val="0"/>
          <w:numId w:val="1"/>
        </w:numPr>
        <w:spacing w:before="100" w:beforeAutospacing="1" w:after="100" w:afterAutospacing="1" w:line="240" w:lineRule="auto"/>
        <w:jc w:val="both"/>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 xml:space="preserve">Nella fase di registrazione è necessario selezionare che la propria Federazione di appartenenza è la </w:t>
      </w:r>
      <w:proofErr w:type="spellStart"/>
      <w:r w:rsidRPr="00F24C0C">
        <w:rPr>
          <w:rFonts w:ascii="Titillium Web" w:eastAsia="Times New Roman" w:hAnsi="Titillium Web" w:cs="Times New Roman"/>
          <w:color w:val="444E57"/>
          <w:spacing w:val="1"/>
          <w:sz w:val="27"/>
          <w:szCs w:val="27"/>
          <w:lang w:eastAsia="it-IT"/>
        </w:rPr>
        <w:t>FNOMCeO</w:t>
      </w:r>
      <w:proofErr w:type="spellEnd"/>
      <w:r w:rsidRPr="00F24C0C">
        <w:rPr>
          <w:rFonts w:ascii="Titillium Web" w:eastAsia="Times New Roman" w:hAnsi="Titillium Web" w:cs="Times New Roman"/>
          <w:color w:val="444E57"/>
          <w:spacing w:val="1"/>
          <w:sz w:val="27"/>
          <w:szCs w:val="27"/>
          <w:lang w:eastAsia="it-IT"/>
        </w:rPr>
        <w:t xml:space="preserve"> (Federazione Nazionale Ordini Medici Chirurghi e Odontoiatri).</w:t>
      </w:r>
    </w:p>
    <w:p w14:paraId="7558CCEC" w14:textId="77777777" w:rsidR="00F24C0C" w:rsidRPr="00F24C0C" w:rsidRDefault="00F24C0C" w:rsidP="006924CF">
      <w:pPr>
        <w:numPr>
          <w:ilvl w:val="0"/>
          <w:numId w:val="1"/>
        </w:numPr>
        <w:spacing w:before="100" w:beforeAutospacing="1" w:after="100" w:afterAutospacing="1" w:line="240" w:lineRule="auto"/>
        <w:jc w:val="both"/>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Una volta effettuata la registrazione, è necessario completare i dati della propria anagrafica indicando anche l'attività professionale esercitata e la disciplina. Ciò serve a COGEAPS per calcolare l'esatto debito formativo cui il professionista è tenuto.</w:t>
      </w:r>
    </w:p>
    <w:p w14:paraId="6ABA78A9" w14:textId="77777777" w:rsidR="00F24C0C" w:rsidRPr="00F24C0C" w:rsidRDefault="00F24C0C" w:rsidP="006924CF">
      <w:pPr>
        <w:numPr>
          <w:ilvl w:val="0"/>
          <w:numId w:val="1"/>
        </w:numPr>
        <w:spacing w:before="100" w:beforeAutospacing="1" w:after="100" w:afterAutospacing="1" w:line="240" w:lineRule="auto"/>
        <w:jc w:val="both"/>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 xml:space="preserve">Il professionista troverà l'elenco degli eventi ECM a cui ha partecipato ed i crediti che ha accumulato. </w:t>
      </w:r>
      <w:proofErr w:type="gramStart"/>
      <w:r w:rsidRPr="00F24C0C">
        <w:rPr>
          <w:rFonts w:ascii="Titillium Web" w:eastAsia="Times New Roman" w:hAnsi="Titillium Web" w:cs="Times New Roman"/>
          <w:color w:val="444E57"/>
          <w:spacing w:val="1"/>
          <w:sz w:val="27"/>
          <w:szCs w:val="27"/>
          <w:lang w:eastAsia="it-IT"/>
        </w:rPr>
        <w:t>E'</w:t>
      </w:r>
      <w:proofErr w:type="gramEnd"/>
      <w:r w:rsidRPr="00F24C0C">
        <w:rPr>
          <w:rFonts w:ascii="Titillium Web" w:eastAsia="Times New Roman" w:hAnsi="Titillium Web" w:cs="Times New Roman"/>
          <w:color w:val="444E57"/>
          <w:spacing w:val="1"/>
          <w:sz w:val="27"/>
          <w:szCs w:val="27"/>
          <w:lang w:eastAsia="it-IT"/>
        </w:rPr>
        <w:t xml:space="preserve"> importante ricordare che chi organizza gli eventi ha 90 giorni di tempo per mandare i dati al COGEAPS. Questo significa che è normale una latenza di almeno tre mesi nell'aggiornamento dei dati. Addirittura i corsi ECM online (FAD) hanno un ritardo nella registrazione ancora maggiore perché l'organizzatore manda i dati al COGEAPS solo alla chiusura dell'evento online.</w:t>
      </w:r>
    </w:p>
    <w:p w14:paraId="0EB3E036" w14:textId="77777777" w:rsidR="00F24C0C" w:rsidRPr="00F24C0C" w:rsidRDefault="00F24C0C" w:rsidP="006924CF">
      <w:pPr>
        <w:numPr>
          <w:ilvl w:val="0"/>
          <w:numId w:val="1"/>
        </w:numPr>
        <w:spacing w:before="100" w:beforeAutospacing="1" w:after="100" w:afterAutospacing="1" w:line="240" w:lineRule="auto"/>
        <w:jc w:val="both"/>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In conseguenza di quanto sopra, se ad esempio il professionista frequenta dei corsi ECM nel mese di dicembre 2021 li vedrà comparire nella propria scheda COGEAPS non prima del mese di aprile 2022.</w:t>
      </w:r>
    </w:p>
    <w:p w14:paraId="25AD31EA" w14:textId="77777777" w:rsidR="00F24C0C" w:rsidRPr="00F24C0C" w:rsidRDefault="00F24C0C" w:rsidP="006924CF">
      <w:pPr>
        <w:numPr>
          <w:ilvl w:val="0"/>
          <w:numId w:val="1"/>
        </w:numPr>
        <w:spacing w:before="100" w:beforeAutospacing="1" w:after="100" w:afterAutospacing="1" w:line="240" w:lineRule="auto"/>
        <w:jc w:val="both"/>
        <w:rPr>
          <w:rFonts w:ascii="Titillium Web" w:eastAsia="Times New Roman" w:hAnsi="Titillium Web" w:cs="Times New Roman"/>
          <w:color w:val="444E57"/>
          <w:spacing w:val="1"/>
          <w:sz w:val="27"/>
          <w:szCs w:val="27"/>
          <w:lang w:eastAsia="it-IT"/>
        </w:rPr>
      </w:pPr>
      <w:proofErr w:type="gramStart"/>
      <w:r w:rsidRPr="00F24C0C">
        <w:rPr>
          <w:rFonts w:ascii="Titillium Web" w:eastAsia="Times New Roman" w:hAnsi="Titillium Web" w:cs="Times New Roman"/>
          <w:color w:val="444E57"/>
          <w:spacing w:val="1"/>
          <w:sz w:val="27"/>
          <w:szCs w:val="27"/>
          <w:lang w:eastAsia="it-IT"/>
        </w:rPr>
        <w:t>E'</w:t>
      </w:r>
      <w:proofErr w:type="gramEnd"/>
      <w:r w:rsidRPr="00F24C0C">
        <w:rPr>
          <w:rFonts w:ascii="Titillium Web" w:eastAsia="Times New Roman" w:hAnsi="Titillium Web" w:cs="Times New Roman"/>
          <w:color w:val="444E57"/>
          <w:spacing w:val="1"/>
          <w:sz w:val="27"/>
          <w:szCs w:val="27"/>
          <w:lang w:eastAsia="it-IT"/>
        </w:rPr>
        <w:t xml:space="preserve"> comunque consigliato a tutti i professionisti di conservare gli attestati al termine di ogni evento formativo frequentato. </w:t>
      </w:r>
      <w:proofErr w:type="spellStart"/>
      <w:r w:rsidRPr="00F24C0C">
        <w:rPr>
          <w:rFonts w:ascii="Titillium Web" w:eastAsia="Times New Roman" w:hAnsi="Titillium Web" w:cs="Times New Roman"/>
          <w:color w:val="444E57"/>
          <w:spacing w:val="1"/>
          <w:sz w:val="27"/>
          <w:szCs w:val="27"/>
          <w:lang w:eastAsia="it-IT"/>
        </w:rPr>
        <w:t>Perchè</w:t>
      </w:r>
      <w:proofErr w:type="spellEnd"/>
      <w:r w:rsidRPr="00F24C0C">
        <w:rPr>
          <w:rFonts w:ascii="Titillium Web" w:eastAsia="Times New Roman" w:hAnsi="Titillium Web" w:cs="Times New Roman"/>
          <w:color w:val="444E57"/>
          <w:spacing w:val="1"/>
          <w:sz w:val="27"/>
          <w:szCs w:val="27"/>
          <w:lang w:eastAsia="it-IT"/>
        </w:rPr>
        <w:t xml:space="preserve"> se per qualche disguido il COGEAPS non riceve i dati da parte dell'organizzatore dell'evento, il professionista potrà comunque chiederne la registrazione esibendo l'attestato posseduto.</w:t>
      </w:r>
    </w:p>
    <w:p w14:paraId="00609DA0" w14:textId="77777777" w:rsidR="00F24C0C" w:rsidRPr="00F24C0C" w:rsidRDefault="00F24C0C" w:rsidP="006924CF">
      <w:pPr>
        <w:numPr>
          <w:ilvl w:val="0"/>
          <w:numId w:val="1"/>
        </w:numPr>
        <w:spacing w:before="100" w:beforeAutospacing="1" w:after="100" w:afterAutospacing="1" w:line="240" w:lineRule="auto"/>
        <w:jc w:val="both"/>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Per qualunque informazione sulla propria posizione ECM risultante dall'anagrafica, il professionista può rivolgersi al front-office del COGEAPS, contattabile telefonicamente o via email ai recapiti indicati sul sito.</w:t>
      </w:r>
    </w:p>
    <w:p w14:paraId="158BBEC5" w14:textId="77777777" w:rsidR="00F24C0C" w:rsidRPr="00F24C0C" w:rsidRDefault="00F24C0C" w:rsidP="00F24C0C">
      <w:pPr>
        <w:numPr>
          <w:ilvl w:val="0"/>
          <w:numId w:val="1"/>
        </w:numPr>
        <w:spacing w:before="100" w:beforeAutospacing="1" w:after="100" w:afterAutospacing="1" w:line="240" w:lineRule="auto"/>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lastRenderedPageBreak/>
        <w:t>Per ricercare eventi formativi ECM ai quali partecipare, è disponibile la banca-dati AGENAS: </w:t>
      </w:r>
      <w:hyperlink r:id="rId8" w:tgtFrame="_blank" w:history="1">
        <w:r w:rsidRPr="00F24C0C">
          <w:rPr>
            <w:rFonts w:ascii="Titillium Web" w:eastAsia="Times New Roman" w:hAnsi="Titillium Web" w:cs="Times New Roman"/>
            <w:color w:val="003569"/>
            <w:spacing w:val="1"/>
            <w:sz w:val="27"/>
            <w:szCs w:val="27"/>
            <w:u w:val="single"/>
            <w:lang w:eastAsia="it-IT"/>
          </w:rPr>
          <w:t>http://ape.agenas.it/Tools/Eventi.aspx</w:t>
        </w:r>
      </w:hyperlink>
      <w:r w:rsidRPr="00F24C0C">
        <w:rPr>
          <w:rFonts w:ascii="Titillium Web" w:eastAsia="Times New Roman" w:hAnsi="Titillium Web" w:cs="Times New Roman"/>
          <w:color w:val="444E57"/>
          <w:spacing w:val="1"/>
          <w:sz w:val="27"/>
          <w:szCs w:val="27"/>
          <w:lang w:eastAsia="it-IT"/>
        </w:rPr>
        <w:t> nella quale sono indicati tutti i corsi ed eventi formativi accreditati ECM in tutta Italia.</w:t>
      </w:r>
    </w:p>
    <w:p w14:paraId="2D225586" w14:textId="77777777" w:rsidR="00F24C0C" w:rsidRPr="00F24C0C" w:rsidRDefault="00F24C0C" w:rsidP="00F24C0C">
      <w:pPr>
        <w:spacing w:after="0" w:line="240" w:lineRule="auto"/>
        <w:rPr>
          <w:rFonts w:ascii="Times New Roman" w:eastAsia="Times New Roman" w:hAnsi="Times New Roman" w:cs="Times New Roman"/>
          <w:sz w:val="24"/>
          <w:szCs w:val="24"/>
          <w:lang w:eastAsia="it-IT"/>
        </w:rPr>
      </w:pPr>
      <w:r w:rsidRPr="00F24C0C">
        <w:rPr>
          <w:rFonts w:ascii="Times New Roman" w:eastAsia="Times New Roman" w:hAnsi="Times New Roman" w:cs="Times New Roman"/>
          <w:sz w:val="24"/>
          <w:szCs w:val="24"/>
          <w:lang w:eastAsia="it-IT"/>
        </w:rPr>
        <w:pict w14:anchorId="6F23F1F9">
          <v:rect id="_x0000_i1026" style="width:0;height:0" o:hralign="center" o:hrstd="t" o:hrnoshade="t" o:hr="t" fillcolor="#444e57" stroked="f"/>
        </w:pict>
      </w:r>
    </w:p>
    <w:p w14:paraId="1937C23E" w14:textId="77777777" w:rsidR="00F24C0C" w:rsidRPr="00F24C0C" w:rsidRDefault="00F24C0C" w:rsidP="00F24C0C">
      <w:pPr>
        <w:spacing w:after="510" w:line="240" w:lineRule="auto"/>
        <w:outlineLvl w:val="1"/>
        <w:rPr>
          <w:rFonts w:ascii="Titillium Web" w:eastAsia="Times New Roman" w:hAnsi="Titillium Web" w:cs="Times New Roman"/>
          <w:b/>
          <w:bCs/>
          <w:color w:val="444E57"/>
          <w:spacing w:val="3"/>
          <w:sz w:val="36"/>
          <w:szCs w:val="36"/>
          <w:lang w:eastAsia="it-IT"/>
        </w:rPr>
      </w:pPr>
      <w:r w:rsidRPr="00F24C0C">
        <w:rPr>
          <w:rFonts w:ascii="Titillium Web" w:eastAsia="Times New Roman" w:hAnsi="Titillium Web" w:cs="Times New Roman"/>
          <w:b/>
          <w:bCs/>
          <w:color w:val="444E57"/>
          <w:spacing w:val="3"/>
          <w:sz w:val="36"/>
          <w:szCs w:val="36"/>
          <w:lang w:eastAsia="it-IT"/>
        </w:rPr>
        <w:t>Manuale sulla Formazione Continua del Professionista Sanitario</w:t>
      </w:r>
    </w:p>
    <w:p w14:paraId="32D5E0A3" w14:textId="77777777" w:rsidR="006924CF" w:rsidRDefault="00F24C0C" w:rsidP="00F24C0C">
      <w:pPr>
        <w:spacing w:after="540" w:line="240" w:lineRule="auto"/>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La Commissione Nazionale per la Formazione Continua ha approvato un "Manuale sulla Formazione Continua del Professionista Sanitario" che racchiude e spiega i diritti e gli obblighi dei professionisti in relazione alla tematica ECM.</w:t>
      </w:r>
      <w:r w:rsidRPr="00F24C0C">
        <w:rPr>
          <w:rFonts w:ascii="Titillium Web" w:eastAsia="Times New Roman" w:hAnsi="Titillium Web" w:cs="Times New Roman"/>
          <w:color w:val="444E57"/>
          <w:spacing w:val="1"/>
          <w:sz w:val="27"/>
          <w:szCs w:val="27"/>
          <w:lang w:eastAsia="it-IT"/>
        </w:rPr>
        <w:br/>
        <w:t>Il Manuale viene rivisto e aggiornato con cadenza annuale.</w:t>
      </w:r>
    </w:p>
    <w:p w14:paraId="0B2371EF" w14:textId="0C6F6356" w:rsidR="00F24C0C" w:rsidRPr="00F24C0C" w:rsidRDefault="00F24C0C" w:rsidP="00F24C0C">
      <w:pPr>
        <w:spacing w:after="540" w:line="240" w:lineRule="auto"/>
        <w:rPr>
          <w:rFonts w:ascii="Titillium Web" w:eastAsia="Times New Roman" w:hAnsi="Titillium Web" w:cs="Times New Roman"/>
          <w:color w:val="444E57"/>
          <w:spacing w:val="1"/>
          <w:sz w:val="27"/>
          <w:szCs w:val="27"/>
          <w:lang w:eastAsia="it-IT"/>
        </w:rPr>
      </w:pPr>
      <w:r w:rsidRPr="00F24C0C">
        <w:rPr>
          <w:rFonts w:ascii="Titillium Web" w:eastAsia="Times New Roman" w:hAnsi="Titillium Web" w:cs="Times New Roman"/>
          <w:color w:val="444E57"/>
          <w:spacing w:val="1"/>
          <w:sz w:val="27"/>
          <w:szCs w:val="27"/>
          <w:lang w:eastAsia="it-IT"/>
        </w:rPr>
        <w:t>Perconsultarlo: </w:t>
      </w:r>
      <w:hyperlink r:id="rId9" w:tgtFrame="_blank" w:history="1">
        <w:r w:rsidRPr="00F24C0C">
          <w:rPr>
            <w:rFonts w:ascii="Titillium Web" w:eastAsia="Times New Roman" w:hAnsi="Titillium Web" w:cs="Times New Roman"/>
            <w:color w:val="003569"/>
            <w:spacing w:val="1"/>
            <w:sz w:val="27"/>
            <w:szCs w:val="27"/>
            <w:u w:val="single"/>
            <w:lang w:eastAsia="it-IT"/>
          </w:rPr>
          <w:t>http://ape.agenas.it/documenti/Normativa/Manuale_formazione_continua_professionista_sanitario/Manuale_sulla_formazione_continua_professionista_sanitario.pdf</w:t>
        </w:r>
      </w:hyperlink>
    </w:p>
    <w:p w14:paraId="58EA974D" w14:textId="77777777" w:rsidR="006477C6" w:rsidRDefault="006477C6"/>
    <w:sectPr w:rsidR="006477C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523D1A"/>
    <w:multiLevelType w:val="multilevel"/>
    <w:tmpl w:val="84845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FE2"/>
    <w:rsid w:val="0013037B"/>
    <w:rsid w:val="006477C6"/>
    <w:rsid w:val="006924CF"/>
    <w:rsid w:val="009F60AF"/>
    <w:rsid w:val="00A10D04"/>
    <w:rsid w:val="00BA3FE2"/>
    <w:rsid w:val="00F24C0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8EDEF"/>
  <w15:chartTrackingRefBased/>
  <w15:docId w15:val="{7AE5A3CB-EBC1-4C34-AA50-801422D47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link w:val="Titolo2Carattere"/>
    <w:uiPriority w:val="9"/>
    <w:qFormat/>
    <w:rsid w:val="00F24C0C"/>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F24C0C"/>
    <w:rPr>
      <w:rFonts w:ascii="Times New Roman" w:eastAsia="Times New Roman" w:hAnsi="Times New Roman" w:cs="Times New Roman"/>
      <w:b/>
      <w:bCs/>
      <w:sz w:val="36"/>
      <w:szCs w:val="36"/>
      <w:lang w:eastAsia="it-IT"/>
    </w:rPr>
  </w:style>
  <w:style w:type="paragraph" w:styleId="NormaleWeb">
    <w:name w:val="Normal (Web)"/>
    <w:basedOn w:val="Normale"/>
    <w:uiPriority w:val="99"/>
    <w:semiHidden/>
    <w:unhideWhenUsed/>
    <w:rsid w:val="00F24C0C"/>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F24C0C"/>
    <w:rPr>
      <w:b/>
      <w:bCs/>
    </w:rPr>
  </w:style>
  <w:style w:type="character" w:styleId="Collegamentoipertestuale">
    <w:name w:val="Hyperlink"/>
    <w:basedOn w:val="Carpredefinitoparagrafo"/>
    <w:uiPriority w:val="99"/>
    <w:unhideWhenUsed/>
    <w:rsid w:val="00F24C0C"/>
    <w:rPr>
      <w:color w:val="0000FF"/>
      <w:u w:val="single"/>
    </w:rPr>
  </w:style>
  <w:style w:type="character" w:customStyle="1" w:styleId="k-visually-hidden">
    <w:name w:val="k-visually-hidden"/>
    <w:basedOn w:val="Carpredefinitoparagrafo"/>
    <w:rsid w:val="00F24C0C"/>
  </w:style>
  <w:style w:type="character" w:styleId="Menzionenonrisolta">
    <w:name w:val="Unresolved Mention"/>
    <w:basedOn w:val="Carpredefinitoparagrafo"/>
    <w:uiPriority w:val="99"/>
    <w:semiHidden/>
    <w:unhideWhenUsed/>
    <w:rsid w:val="006924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794745">
      <w:bodyDiv w:val="1"/>
      <w:marLeft w:val="0"/>
      <w:marRight w:val="0"/>
      <w:marTop w:val="0"/>
      <w:marBottom w:val="0"/>
      <w:divBdr>
        <w:top w:val="none" w:sz="0" w:space="0" w:color="auto"/>
        <w:left w:val="none" w:sz="0" w:space="0" w:color="auto"/>
        <w:bottom w:val="none" w:sz="0" w:space="0" w:color="auto"/>
        <w:right w:val="none" w:sz="0" w:space="0" w:color="auto"/>
      </w:divBdr>
      <w:divsChild>
        <w:div w:id="1135753975">
          <w:marLeft w:val="0"/>
          <w:marRight w:val="0"/>
          <w:marTop w:val="0"/>
          <w:marBottom w:val="0"/>
          <w:divBdr>
            <w:top w:val="none" w:sz="0" w:space="0" w:color="auto"/>
            <w:left w:val="none" w:sz="0" w:space="0" w:color="auto"/>
            <w:bottom w:val="none" w:sz="0" w:space="0" w:color="auto"/>
            <w:right w:val="none" w:sz="0" w:space="0" w:color="auto"/>
          </w:divBdr>
        </w:div>
        <w:div w:id="808715657">
          <w:marLeft w:val="0"/>
          <w:marRight w:val="0"/>
          <w:marTop w:val="0"/>
          <w:marBottom w:val="0"/>
          <w:divBdr>
            <w:top w:val="none" w:sz="0" w:space="0" w:color="auto"/>
            <w:left w:val="none" w:sz="0" w:space="0" w:color="auto"/>
            <w:bottom w:val="none" w:sz="0" w:space="0" w:color="auto"/>
            <w:right w:val="none" w:sz="0" w:space="0" w:color="auto"/>
          </w:divBdr>
        </w:div>
      </w:divsChild>
    </w:div>
    <w:div w:id="1712995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pe.agenas.it/Tools/Eventi.aspx" TargetMode="External"/><Relationship Id="rId3" Type="http://schemas.openxmlformats.org/officeDocument/2006/relationships/settings" Target="settings.xml"/><Relationship Id="rId7" Type="http://schemas.openxmlformats.org/officeDocument/2006/relationships/hyperlink" Target="http://www.cogeaps.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ogeaps.it/" TargetMode="External"/><Relationship Id="rId11" Type="http://schemas.openxmlformats.org/officeDocument/2006/relationships/theme" Target="theme/theme1.xml"/><Relationship Id="rId5" Type="http://schemas.openxmlformats.org/officeDocument/2006/relationships/hyperlink" Target="http://wp.cogeaps.it/wpcontent/uploads/2020/10/GuidaUtente_SpostamentoCrediti.pdf"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ape.agenas.it/documenti/Normativa/Manuale_formazione_continua_professionista_sanitario/Manuale_sulla_formazione_continua_professionista_sanitario.pdf"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724</Words>
  <Characters>4129</Characters>
  <Application>Microsoft Office Word</Application>
  <DocSecurity>0</DocSecurity>
  <Lines>34</Lines>
  <Paragraphs>9</Paragraphs>
  <ScaleCrop>false</ScaleCrop>
  <Company/>
  <LinksUpToDate>false</LinksUpToDate>
  <CharactersWithSpaces>4844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Curioni</dc:creator>
  <cp:keywords/>
  <dc:description/>
  <cp:lastModifiedBy>Silvia Curioni</cp:lastModifiedBy>
  <cp:revision>2</cp:revision>
  <dcterms:created xsi:type="dcterms:W3CDTF">2021-11-19T10:18:00Z</dcterms:created>
  <dcterms:modified xsi:type="dcterms:W3CDTF">2021-11-19T10:18:00Z</dcterms:modified>
</cp:coreProperties>
</file>